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516A" w14:textId="77777777" w:rsidR="006F4F94" w:rsidRPr="00CB2E3A" w:rsidRDefault="006F4F94" w:rsidP="006F4F94">
      <w:pPr>
        <w:pStyle w:val="Heading1"/>
        <w:spacing w:after="240"/>
        <w:ind w:right="-142"/>
        <w:rPr>
          <w:color w:val="0070C0"/>
        </w:rPr>
      </w:pPr>
      <w:r w:rsidRPr="00CB2E3A">
        <w:rPr>
          <w:b w:val="0"/>
          <w:bCs/>
          <w:color w:val="0070C0"/>
          <w:sz w:val="30"/>
          <w:szCs w:val="30"/>
        </w:rPr>
        <w:t>Statement of Information</w:t>
      </w:r>
      <w:r w:rsidRPr="00CB2E3A">
        <w:rPr>
          <w:b w:val="0"/>
          <w:bCs/>
          <w:color w:val="0070C0"/>
          <w:sz w:val="30"/>
          <w:szCs w:val="30"/>
        </w:rPr>
        <w:br/>
      </w:r>
      <w:r w:rsidRPr="00BB7356">
        <w:rPr>
          <w:color w:val="0070C0"/>
        </w:rPr>
        <w:t>Multiple residential properties located outside the Melbourne metropolitan area</w:t>
      </w:r>
    </w:p>
    <w:p w14:paraId="5DCC0C0C" w14:textId="77777777" w:rsidR="006F4F94" w:rsidRPr="00076ADA" w:rsidRDefault="006F4F94" w:rsidP="006F4F94">
      <w:pPr>
        <w:pStyle w:val="BodyText"/>
        <w:spacing w:before="120" w:after="240"/>
        <w:jc w:val="right"/>
        <w:rPr>
          <w:b/>
          <w:bCs/>
          <w:sz w:val="22"/>
          <w:szCs w:val="22"/>
        </w:rPr>
      </w:pPr>
      <w:r w:rsidRPr="00076ADA">
        <w:rPr>
          <w:b/>
          <w:bCs/>
          <w:sz w:val="22"/>
          <w:szCs w:val="22"/>
        </w:rPr>
        <w:t xml:space="preserve">Section 47AF of the </w:t>
      </w:r>
      <w:r w:rsidRPr="00076ADA">
        <w:rPr>
          <w:b/>
          <w:bCs/>
          <w:i/>
          <w:iCs/>
          <w:sz w:val="22"/>
          <w:szCs w:val="22"/>
        </w:rPr>
        <w:t>Estate Agents Act 1980</w:t>
      </w:r>
    </w:p>
    <w:p w14:paraId="302E6843" w14:textId="77777777" w:rsidR="006F4F94" w:rsidRPr="00076ADA" w:rsidRDefault="006F4F94" w:rsidP="006F4F94">
      <w:pPr>
        <w:pStyle w:val="Heading2"/>
      </w:pPr>
      <w:r w:rsidRPr="00076ADA">
        <w:t>Unit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87"/>
        <w:gridCol w:w="7189"/>
      </w:tblGrid>
      <w:tr w:rsidR="006F4F94" w14:paraId="02ABB0C3" w14:textId="77777777" w:rsidTr="00DD6734">
        <w:tc>
          <w:tcPr>
            <w:tcW w:w="2410" w:type="dxa"/>
            <w:tcBorders>
              <w:top w:val="nil"/>
              <w:left w:val="nil"/>
              <w:bottom w:val="nil"/>
            </w:tcBorders>
            <w:shd w:val="clear" w:color="auto" w:fill="auto"/>
            <w:vAlign w:val="center"/>
          </w:tcPr>
          <w:p w14:paraId="7F628F8D" w14:textId="77777777" w:rsidR="006F4F94" w:rsidRPr="00076ADA" w:rsidRDefault="006F4F94" w:rsidP="00DD6734">
            <w:pPr>
              <w:pStyle w:val="BodyText"/>
              <w:jc w:val="right"/>
            </w:pPr>
            <w:r w:rsidRPr="00FF367B">
              <w:t xml:space="preserve">Address </w:t>
            </w:r>
            <w:r>
              <w:br/>
            </w:r>
            <w:r>
              <w:rPr>
                <w:color w:val="808080"/>
              </w:rPr>
              <w:t>I</w:t>
            </w:r>
            <w:r w:rsidRPr="00E30998">
              <w:rPr>
                <w:color w:val="808080"/>
              </w:rPr>
              <w:t>ncluding suburb or locality and postcode</w:t>
            </w:r>
          </w:p>
        </w:tc>
        <w:tc>
          <w:tcPr>
            <w:tcW w:w="7285" w:type="dxa"/>
            <w:tcBorders>
              <w:bottom w:val="single" w:sz="4" w:space="0" w:color="auto"/>
            </w:tcBorders>
            <w:shd w:val="clear" w:color="auto" w:fill="auto"/>
            <w:vAlign w:val="center"/>
          </w:tcPr>
          <w:p w14:paraId="032A23CA" w14:textId="69C206A7" w:rsidR="006F4F94" w:rsidRPr="00FF367B" w:rsidRDefault="00E07E07" w:rsidP="00DD6734">
            <w:pPr>
              <w:pStyle w:val="BodyText"/>
            </w:pPr>
            <w:r>
              <w:t>713 McIvor Highway, Junortoun VIC 3551</w:t>
            </w:r>
          </w:p>
        </w:tc>
      </w:tr>
    </w:tbl>
    <w:p w14:paraId="0FA8DB0C" w14:textId="77777777" w:rsidR="006F4F94" w:rsidRDefault="006F4F94" w:rsidP="006F4F94">
      <w:pPr>
        <w:pStyle w:val="Heading2"/>
      </w:pPr>
      <w:r w:rsidRPr="00076ADA">
        <w:t>Indicative selling price</w:t>
      </w:r>
    </w:p>
    <w:p w14:paraId="5BE81A4B" w14:textId="77777777" w:rsidR="006F4F94" w:rsidRDefault="006F4F94" w:rsidP="006F4F94">
      <w:pPr>
        <w:pStyle w:val="BodyText"/>
      </w:pPr>
      <w:r w:rsidRPr="00076ADA">
        <w:t>For the meaning of this price see consumer.vic.gov.au/underquoting</w:t>
      </w:r>
      <w:r>
        <w:t xml:space="preserve"> </w:t>
      </w:r>
      <w:r w:rsidRPr="00CB2E3A">
        <w:t>(*Delete single price or range as applicable)</w:t>
      </w:r>
    </w:p>
    <w:tbl>
      <w:tblPr>
        <w:tblW w:w="9773" w:type="dxa"/>
        <w:tblInd w:w="57" w:type="dxa"/>
        <w:tblCellMar>
          <w:left w:w="57" w:type="dxa"/>
          <w:right w:w="57" w:type="dxa"/>
        </w:tblCellMar>
        <w:tblLook w:val="04A0" w:firstRow="1" w:lastRow="0" w:firstColumn="1" w:lastColumn="0" w:noHBand="0" w:noVBand="1"/>
      </w:tblPr>
      <w:tblGrid>
        <w:gridCol w:w="7938"/>
        <w:gridCol w:w="1701"/>
        <w:gridCol w:w="134"/>
      </w:tblGrid>
      <w:tr w:rsidR="00E07E07" w:rsidRPr="000F5215" w14:paraId="2165EA8B" w14:textId="77777777" w:rsidTr="00E07E07">
        <w:trPr>
          <w:trHeight w:val="695"/>
          <w:tblHeader/>
        </w:trPr>
        <w:tc>
          <w:tcPr>
            <w:tcW w:w="7938" w:type="dxa"/>
            <w:tcBorders>
              <w:bottom w:val="single" w:sz="4" w:space="0" w:color="auto"/>
            </w:tcBorders>
            <w:shd w:val="clear" w:color="auto" w:fill="auto"/>
            <w:vAlign w:val="bottom"/>
          </w:tcPr>
          <w:p w14:paraId="724597A3" w14:textId="77777777" w:rsidR="00E07E07" w:rsidRPr="006F04A0" w:rsidRDefault="00E07E07" w:rsidP="00DD6734">
            <w:pPr>
              <w:pStyle w:val="BodyText"/>
              <w:jc w:val="center"/>
              <w:rPr>
                <w:b/>
              </w:rPr>
            </w:pPr>
            <w:r w:rsidRPr="006F04A0">
              <w:rPr>
                <w:b/>
              </w:rPr>
              <w:t>Unit type or class</w:t>
            </w:r>
          </w:p>
          <w:p w14:paraId="72D74185" w14:textId="77777777" w:rsidR="00E07E07" w:rsidRPr="00310DB0" w:rsidRDefault="00E07E07" w:rsidP="00DD6734">
            <w:pPr>
              <w:pStyle w:val="BodyText"/>
              <w:jc w:val="center"/>
              <w:rPr>
                <w:bCs/>
                <w:color w:val="A6A6A6"/>
              </w:rPr>
            </w:pPr>
            <w:r w:rsidRPr="00FD3D2F">
              <w:rPr>
                <w:color w:val="808080"/>
              </w:rPr>
              <w:t>e.g. One bedroom units</w:t>
            </w:r>
          </w:p>
        </w:tc>
        <w:tc>
          <w:tcPr>
            <w:tcW w:w="1701" w:type="dxa"/>
            <w:tcBorders>
              <w:bottom w:val="single" w:sz="4" w:space="0" w:color="auto"/>
            </w:tcBorders>
            <w:shd w:val="clear" w:color="auto" w:fill="auto"/>
            <w:vAlign w:val="bottom"/>
          </w:tcPr>
          <w:p w14:paraId="46F98E84" w14:textId="77777777" w:rsidR="00E07E07" w:rsidRPr="006F04A0" w:rsidRDefault="00E07E07" w:rsidP="00DD6734">
            <w:pPr>
              <w:pStyle w:val="BodyText"/>
              <w:jc w:val="center"/>
              <w:rPr>
                <w:b/>
              </w:rPr>
            </w:pPr>
            <w:r>
              <w:rPr>
                <w:b/>
              </w:rPr>
              <w:t>Single p</w:t>
            </w:r>
            <w:r w:rsidRPr="006F04A0">
              <w:rPr>
                <w:b/>
              </w:rPr>
              <w:t>rice</w:t>
            </w:r>
          </w:p>
        </w:tc>
        <w:tc>
          <w:tcPr>
            <w:tcW w:w="134" w:type="dxa"/>
            <w:shd w:val="clear" w:color="auto" w:fill="auto"/>
            <w:vAlign w:val="bottom"/>
          </w:tcPr>
          <w:p w14:paraId="6EDD39E3" w14:textId="77777777" w:rsidR="00E07E07" w:rsidRPr="006F04A0" w:rsidRDefault="00E07E07" w:rsidP="00DD6734">
            <w:pPr>
              <w:pStyle w:val="BodyText"/>
              <w:tabs>
                <w:tab w:val="left" w:pos="2352"/>
              </w:tabs>
              <w:rPr>
                <w:b/>
              </w:rPr>
            </w:pPr>
          </w:p>
        </w:tc>
      </w:tr>
      <w:tr w:rsidR="00E07E07" w:rsidRPr="000F5215" w14:paraId="224A0BCC"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E3A1B9" w14:textId="7E0EBCF6" w:rsidR="00E07E07" w:rsidRDefault="00E07E07" w:rsidP="00DD6734">
            <w:pPr>
              <w:pStyle w:val="BodyText"/>
            </w:pPr>
            <w:r w:rsidRPr="00E07E07">
              <w:t>Lots 1 and 5,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C01E23" w14:textId="19D05C74" w:rsidR="00E07E07" w:rsidRDefault="00E07E07" w:rsidP="00DD6734">
            <w:pPr>
              <w:pStyle w:val="BodyText"/>
            </w:pPr>
            <w:r>
              <w:t>$470,000</w:t>
            </w:r>
          </w:p>
        </w:tc>
      </w:tr>
      <w:tr w:rsidR="00E07E07" w:rsidRPr="000F5215" w14:paraId="64921EB3"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DB3657B" w14:textId="71024FEC" w:rsidR="00E07E07" w:rsidRDefault="00E07E07" w:rsidP="00DD6734">
            <w:pPr>
              <w:pStyle w:val="BodyText"/>
            </w:pPr>
            <w:r w:rsidRPr="00E07E07">
              <w:t>Lots 2 and 3,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48E764" w14:textId="7674E991" w:rsidR="00E07E07" w:rsidRDefault="00E07E07" w:rsidP="00DD6734">
            <w:pPr>
              <w:pStyle w:val="BodyText"/>
            </w:pPr>
            <w:r>
              <w:t>$490,000</w:t>
            </w:r>
          </w:p>
        </w:tc>
      </w:tr>
      <w:tr w:rsidR="00E07E07" w:rsidRPr="000F5215" w14:paraId="00F8DCF8"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B0A0F4" w14:textId="321C266F" w:rsidR="00E07E07" w:rsidRDefault="00E07E07" w:rsidP="00DD6734">
            <w:pPr>
              <w:pStyle w:val="BodyText"/>
            </w:pPr>
            <w:r w:rsidRPr="00E07E07">
              <w:t>Lot 4,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1B8803" w14:textId="4EADE916" w:rsidR="00E07E07" w:rsidRDefault="00E07E07" w:rsidP="00DD6734">
            <w:pPr>
              <w:pStyle w:val="BodyText"/>
            </w:pPr>
            <w:r>
              <w:t>$460,000</w:t>
            </w:r>
          </w:p>
        </w:tc>
      </w:tr>
      <w:tr w:rsidR="00E07E07" w:rsidRPr="000F5215" w14:paraId="16B1A9A5"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41B928" w14:textId="19C22ABA" w:rsidR="00E07E07" w:rsidRDefault="00E07E07" w:rsidP="00DD6734">
            <w:pPr>
              <w:pStyle w:val="BodyText"/>
            </w:pPr>
            <w:r w:rsidRPr="00E07E07">
              <w:t>Lots 6, 7, 8, 9, 10, 18,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9340A" w14:textId="7717E365" w:rsidR="00E07E07" w:rsidRDefault="00E07E07" w:rsidP="00DD6734">
            <w:pPr>
              <w:pStyle w:val="BodyText"/>
            </w:pPr>
            <w:r>
              <w:t>$500,000</w:t>
            </w:r>
          </w:p>
        </w:tc>
      </w:tr>
      <w:tr w:rsidR="00E07E07" w:rsidRPr="000F5215" w14:paraId="439882D7"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8C5E11B" w14:textId="0BD2DDBC" w:rsidR="00E07E07" w:rsidRDefault="00E07E07" w:rsidP="00DD6734">
            <w:pPr>
              <w:pStyle w:val="BodyText"/>
            </w:pPr>
            <w:r w:rsidRPr="00E07E07">
              <w:t>Lots 12 and 13,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598B33" w14:textId="21B6CF09" w:rsidR="00E07E07" w:rsidRDefault="00E07E07" w:rsidP="00DD6734">
            <w:pPr>
              <w:pStyle w:val="BodyText"/>
            </w:pPr>
            <w:r>
              <w:t>$510,000</w:t>
            </w:r>
          </w:p>
        </w:tc>
      </w:tr>
      <w:tr w:rsidR="00E07E07" w:rsidRPr="000F5215" w14:paraId="003C186D" w14:textId="77777777" w:rsidTr="00E07E07">
        <w:trPr>
          <w:gridAfter w:val="1"/>
          <w:wAfter w:w="134" w:type="dxa"/>
          <w:trHeight w:val="45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5CB4758" w14:textId="59E96F01" w:rsidR="00E07E07" w:rsidRPr="00E07E07" w:rsidRDefault="00E07E07" w:rsidP="00DD6734">
            <w:pPr>
              <w:pStyle w:val="BodyText"/>
            </w:pPr>
            <w:r w:rsidRPr="00E07E07">
              <w:t>Lots 14, 15, 16, 713 McIvor Highway, Junortoun VIC 3551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CF9D3" w14:textId="30A5C3C4" w:rsidR="00E07E07" w:rsidRDefault="00E07E07" w:rsidP="00DD6734">
            <w:pPr>
              <w:pStyle w:val="BodyText"/>
            </w:pPr>
            <w:r>
              <w:t>$520,000</w:t>
            </w:r>
          </w:p>
        </w:tc>
      </w:tr>
    </w:tbl>
    <w:p w14:paraId="4CE04400" w14:textId="77777777" w:rsidR="006F4F94" w:rsidRDefault="006F4F94" w:rsidP="006F4F94">
      <w:pPr>
        <w:pStyle w:val="BodyText"/>
        <w:spacing w:before="120"/>
        <w:jc w:val="center"/>
      </w:pPr>
      <w:r w:rsidRPr="00076ADA">
        <w:t>Additional entries may be included or attached as required.</w:t>
      </w:r>
    </w:p>
    <w:p w14:paraId="529DA24B" w14:textId="11FC0893" w:rsidR="006F4F94" w:rsidRDefault="006F4F94" w:rsidP="006F4F94">
      <w:pPr>
        <w:pStyle w:val="Heading2"/>
      </w:pPr>
      <w:r w:rsidRPr="0053170B">
        <w:t>Unit median sale price</w:t>
      </w:r>
    </w:p>
    <w:p w14:paraId="295127F1" w14:textId="77777777" w:rsidR="00273F28" w:rsidRDefault="00273F28" w:rsidP="00273F28">
      <w:pPr>
        <w:pStyle w:val="BodyText"/>
      </w:pPr>
      <w:r>
        <w:t>Important advice about the median sale price: When this Statement of Information was prepared, publicly available</w:t>
      </w:r>
    </w:p>
    <w:p w14:paraId="2976041F" w14:textId="77777777" w:rsidR="00273F28" w:rsidRDefault="00273F28" w:rsidP="00273F28">
      <w:pPr>
        <w:pStyle w:val="BodyText"/>
      </w:pPr>
      <w:r>
        <w:t>information providing median sale prices of residential property in the suburb or locality in which the property offered for</w:t>
      </w:r>
    </w:p>
    <w:p w14:paraId="2F88DC40" w14:textId="77777777" w:rsidR="00273F28" w:rsidRDefault="00273F28" w:rsidP="00273F28">
      <w:pPr>
        <w:pStyle w:val="BodyText"/>
      </w:pPr>
      <w:r>
        <w:t>sale is situated, and our sales records (if any), did not provide a median sale price that met the requirements of section</w:t>
      </w:r>
    </w:p>
    <w:p w14:paraId="0CE1B3AA" w14:textId="30764590" w:rsidR="00273F28" w:rsidRPr="00273F28" w:rsidRDefault="00273F28" w:rsidP="00273F28">
      <w:pPr>
        <w:pStyle w:val="BodyText"/>
      </w:pPr>
      <w:r>
        <w:t>47AF (2)(b) of the Estate Agents Act 1980.</w:t>
      </w:r>
    </w:p>
    <w:p w14:paraId="3CDDC2FE" w14:textId="6B2A1D19" w:rsidR="006F4F94" w:rsidRPr="00B50281" w:rsidRDefault="006F4F94" w:rsidP="006F4F94">
      <w:pPr>
        <w:pStyle w:val="Heading2"/>
      </w:pPr>
      <w:r w:rsidRPr="00B50281">
        <w:t>Comparable property sales</w:t>
      </w:r>
      <w:r>
        <w:t xml:space="preserve"> (*Delete A or B below as applicable)</w:t>
      </w:r>
    </w:p>
    <w:p w14:paraId="228E6E4E" w14:textId="77777777" w:rsidR="006F4F94" w:rsidRPr="00E07E07" w:rsidRDefault="006F4F94" w:rsidP="006F4F94">
      <w:pPr>
        <w:pStyle w:val="BodyText"/>
        <w:tabs>
          <w:tab w:val="left" w:pos="709"/>
        </w:tabs>
        <w:ind w:left="705" w:hanging="705"/>
        <w:rPr>
          <w:strike/>
        </w:rPr>
      </w:pPr>
      <w:r w:rsidRPr="00076ADA">
        <w:rPr>
          <w:b/>
          <w:bCs/>
        </w:rPr>
        <w:t>A*</w:t>
      </w:r>
      <w:r>
        <w:tab/>
      </w:r>
      <w:r w:rsidRPr="00E07E07">
        <w:rPr>
          <w:strike/>
        </w:rPr>
        <w:t>These are the details of the three units that the estate agent or agent’s representative considers to be most comparable to the unit for sale. These units must be of the same type or class as the unit for sale, been sold within the last 18 months, and located within five kilometres of the unit for sale.</w:t>
      </w:r>
    </w:p>
    <w:p w14:paraId="4D2A6C9E" w14:textId="77777777" w:rsidR="006F4F94" w:rsidRDefault="006F4F94" w:rsidP="006F4F94">
      <w:pPr>
        <w:pStyle w:val="BodyText"/>
      </w:pPr>
    </w:p>
    <w:p w14:paraId="6B911B16" w14:textId="77777777" w:rsidR="006F4F94" w:rsidRDefault="006F4F94" w:rsidP="006F4F94">
      <w:pPr>
        <w:pStyle w:val="BodyText"/>
        <w:spacing w:before="240"/>
        <w:rPr>
          <w:b/>
        </w:rPr>
      </w:pPr>
      <w:r w:rsidRPr="00B50281">
        <w:rPr>
          <w:b/>
        </w:rPr>
        <w:t>OR</w:t>
      </w:r>
      <w:r>
        <w:rPr>
          <w:b/>
        </w:rPr>
        <w:t xml:space="preserve"> </w:t>
      </w:r>
    </w:p>
    <w:p w14:paraId="38C91B32" w14:textId="77777777" w:rsidR="006F4F94" w:rsidRDefault="006F4F94" w:rsidP="006F4F94">
      <w:pPr>
        <w:pStyle w:val="BodyText"/>
        <w:spacing w:before="240"/>
        <w:ind w:left="720" w:hanging="720"/>
      </w:pPr>
      <w:r>
        <w:rPr>
          <w:b/>
        </w:rPr>
        <w:t>B*</w:t>
      </w:r>
      <w:r>
        <w:rPr>
          <w:b/>
        </w:rPr>
        <w:tab/>
      </w:r>
      <w:r w:rsidRPr="00DF1EC7">
        <w:t>The estate agent or agent’s representative reasonably believes that fewer than three comparable units were sold within five kilometres of the unit for sale in the last 18 months.</w:t>
      </w:r>
    </w:p>
    <w:p w14:paraId="16251EEA" w14:textId="77777777" w:rsidR="006F4F94" w:rsidRDefault="006F4F94" w:rsidP="006F4F94">
      <w:pPr>
        <w:pStyle w:val="BodyText"/>
        <w:spacing w:before="240"/>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6F4F94" w:rsidRPr="00E623DD" w14:paraId="1900F0B9" w14:textId="77777777" w:rsidTr="00DD6734">
        <w:trPr>
          <w:trHeight w:val="211"/>
        </w:trPr>
        <w:tc>
          <w:tcPr>
            <w:tcW w:w="6804" w:type="dxa"/>
            <w:tcBorders>
              <w:right w:val="single" w:sz="4" w:space="0" w:color="auto"/>
            </w:tcBorders>
            <w:shd w:val="clear" w:color="auto" w:fill="auto"/>
            <w:vAlign w:val="center"/>
          </w:tcPr>
          <w:p w14:paraId="291FB101" w14:textId="77777777" w:rsidR="006F4F94" w:rsidRPr="00E623DD" w:rsidRDefault="006F4F94"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D63D78" w14:textId="7D332E69" w:rsidR="006F4F94" w:rsidRPr="00E623DD" w:rsidRDefault="00E07E07" w:rsidP="00DD6734">
            <w:pPr>
              <w:pStyle w:val="BodyText"/>
              <w:spacing w:before="0" w:after="0"/>
              <w:rPr>
                <w:sz w:val="16"/>
                <w:szCs w:val="16"/>
              </w:rPr>
            </w:pPr>
            <w:r>
              <w:rPr>
                <w:sz w:val="16"/>
                <w:szCs w:val="16"/>
              </w:rPr>
              <w:t>22/05/2025</w:t>
            </w:r>
          </w:p>
        </w:tc>
      </w:tr>
    </w:tbl>
    <w:p w14:paraId="541FB1A9" w14:textId="77777777" w:rsidR="006F4F94" w:rsidRPr="00B50281" w:rsidRDefault="006F4F94" w:rsidP="000B4C79">
      <w:pPr>
        <w:pStyle w:val="BodyText"/>
      </w:pP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2B3A" w14:textId="77777777" w:rsidR="00A34615" w:rsidRDefault="00A34615">
      <w:r>
        <w:separator/>
      </w:r>
    </w:p>
    <w:p w14:paraId="51924DE0" w14:textId="77777777" w:rsidR="00A34615" w:rsidRDefault="00A34615"/>
  </w:endnote>
  <w:endnote w:type="continuationSeparator" w:id="0">
    <w:p w14:paraId="6068E534" w14:textId="77777777" w:rsidR="00A34615" w:rsidRDefault="00A34615">
      <w:r>
        <w:continuationSeparator/>
      </w:r>
    </w:p>
    <w:p w14:paraId="332DE085" w14:textId="77777777"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4580"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64D2088E" w14:textId="3C85728C" w:rsidR="00B41769" w:rsidRPr="005545CA" w:rsidRDefault="000B4C79" w:rsidP="000B4C79">
    <w:pPr>
      <w:pStyle w:val="Footer"/>
      <w:tabs>
        <w:tab w:val="clear" w:pos="5387"/>
        <w:tab w:val="center" w:pos="4678"/>
      </w:tabs>
      <w:spacing w:before="360"/>
    </w:pPr>
    <w:r>
      <w:tab/>
    </w:r>
    <w:r w:rsidR="00273F28">
      <w:rPr>
        <w:noProof/>
      </w:rPr>
      <w:drawing>
        <wp:anchor distT="0" distB="0" distL="114300" distR="114300" simplePos="0" relativeHeight="251658240" behindDoc="0" locked="0" layoutInCell="1" allowOverlap="1" wp14:anchorId="7520C381" wp14:editId="021A0D86">
          <wp:simplePos x="0" y="0"/>
          <wp:positionH relativeFrom="column">
            <wp:posOffset>4476750</wp:posOffset>
          </wp:positionH>
          <wp:positionV relativeFrom="paragraph">
            <wp:posOffset>20320</wp:posOffset>
          </wp:positionV>
          <wp:extent cx="1684655" cy="467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5AD" w14:textId="7680F6AC" w:rsidR="00B41769" w:rsidRPr="007D2AE5" w:rsidRDefault="00273F2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04F90F26" wp14:editId="0582659D">
          <wp:simplePos x="0" y="0"/>
          <wp:positionH relativeFrom="column">
            <wp:posOffset>4476750</wp:posOffset>
          </wp:positionH>
          <wp:positionV relativeFrom="paragraph">
            <wp:posOffset>20320</wp:posOffset>
          </wp:positionV>
          <wp:extent cx="1684655" cy="46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9309" w14:textId="77777777" w:rsidR="00A34615" w:rsidRDefault="00A34615">
      <w:r>
        <w:separator/>
      </w:r>
    </w:p>
    <w:p w14:paraId="27E896AA" w14:textId="77777777" w:rsidR="00A34615" w:rsidRDefault="00A34615"/>
  </w:footnote>
  <w:footnote w:type="continuationSeparator" w:id="0">
    <w:p w14:paraId="1B7931E4" w14:textId="77777777" w:rsidR="00A34615" w:rsidRDefault="00A34615">
      <w:r>
        <w:continuationSeparator/>
      </w:r>
    </w:p>
    <w:p w14:paraId="137BB4D3" w14:textId="77777777"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FBF5"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3657022">
    <w:abstractNumId w:val="11"/>
  </w:num>
  <w:num w:numId="2" w16cid:durableId="191503416">
    <w:abstractNumId w:val="6"/>
  </w:num>
  <w:num w:numId="3" w16cid:durableId="1087579815">
    <w:abstractNumId w:val="5"/>
  </w:num>
  <w:num w:numId="4" w16cid:durableId="1195120432">
    <w:abstractNumId w:val="10"/>
  </w:num>
  <w:num w:numId="5" w16cid:durableId="2067534324">
    <w:abstractNumId w:val="4"/>
  </w:num>
  <w:num w:numId="6" w16cid:durableId="631180396">
    <w:abstractNumId w:val="3"/>
  </w:num>
  <w:num w:numId="7" w16cid:durableId="454755684">
    <w:abstractNumId w:val="2"/>
  </w:num>
  <w:num w:numId="8" w16cid:durableId="2091854502">
    <w:abstractNumId w:val="1"/>
  </w:num>
  <w:num w:numId="9" w16cid:durableId="23217811">
    <w:abstractNumId w:val="9"/>
  </w:num>
  <w:num w:numId="10" w16cid:durableId="1344473633">
    <w:abstractNumId w:val="7"/>
  </w:num>
  <w:num w:numId="11" w16cid:durableId="166405142">
    <w:abstractNumId w:val="0"/>
  </w:num>
  <w:num w:numId="12" w16cid:durableId="37258459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3F28"/>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369B9"/>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07E07"/>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2239"/>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286E94C"/>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0" w:unhideWhenUsed="1"/>
    <w:lsdException w:name="Table Grid" w:uiPriority="0"/>
    <w:lsdException w:name="Table Theme" w:uiPriority="0"/>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6ECA715AC8CA4D9874C0C7D9666FCC" ma:contentTypeVersion="18" ma:contentTypeDescription="Create a new document." ma:contentTypeScope="" ma:versionID="a923a27bb53c03a7b17ae029a1ae88c5">
  <xsd:schema xmlns:xsd="http://www.w3.org/2001/XMLSchema" xmlns:xs="http://www.w3.org/2001/XMLSchema" xmlns:p="http://schemas.microsoft.com/office/2006/metadata/properties" xmlns:ns2="10612c22-42b8-4dbc-97f8-22a2f444b769" xmlns:ns3="54ba2ca0-1b91-49b8-8f80-f5e28c106f44" targetNamespace="http://schemas.microsoft.com/office/2006/metadata/properties" ma:root="true" ma:fieldsID="9bc65204cb6b6cf58bb50f46fa1d0a81" ns2:_="" ns3:_="">
    <xsd:import namespace="10612c22-42b8-4dbc-97f8-22a2f444b769"/>
    <xsd:import namespace="54ba2ca0-1b91-49b8-8f80-f5e28c106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12c22-42b8-4dbc-97f8-22a2f444b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3ac483-0978-4879-a054-70ea7f5c8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2ca0-1b91-49b8-8f80-f5e28c106f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c83b7d-add9-49c9-ad8e-2f3a538891b6}" ma:internalName="TaxCatchAll" ma:showField="CatchAllData" ma:web="54ba2ca0-1b91-49b8-8f80-f5e28c106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ba2ca0-1b91-49b8-8f80-f5e28c106f44" xsi:nil="true"/>
    <lcf76f155ced4ddcb4097134ff3c332f xmlns="10612c22-42b8-4dbc-97f8-22a2f444b7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BFAF9C-EE3C-4BBC-A354-64E64E3E92DF}">
  <ds:schemaRefs>
    <ds:schemaRef ds:uri="http://schemas.openxmlformats.org/officeDocument/2006/bibliography"/>
  </ds:schemaRefs>
</ds:datastoreItem>
</file>

<file path=customXml/itemProps2.xml><?xml version="1.0" encoding="utf-8"?>
<ds:datastoreItem xmlns:ds="http://schemas.openxmlformats.org/officeDocument/2006/customXml" ds:itemID="{C40B11C3-F8AE-455C-8532-F9EE57B93F66}"/>
</file>

<file path=customXml/itemProps3.xml><?xml version="1.0" encoding="utf-8"?>
<ds:datastoreItem xmlns:ds="http://schemas.openxmlformats.org/officeDocument/2006/customXml" ds:itemID="{D67001ED-E470-429E-8556-61DEF2CEDEFD}"/>
</file>

<file path=customXml/itemProps4.xml><?xml version="1.0" encoding="utf-8"?>
<ds:datastoreItem xmlns:ds="http://schemas.openxmlformats.org/officeDocument/2006/customXml" ds:itemID="{8BE82947-5D6C-42EA-8436-D5032EB87DFF}"/>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1948</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Tim Rooke</cp:lastModifiedBy>
  <cp:revision>2</cp:revision>
  <cp:lastPrinted>2019-07-12T05:11:00Z</cp:lastPrinted>
  <dcterms:created xsi:type="dcterms:W3CDTF">2025-05-22T03:01:00Z</dcterms:created>
  <dcterms:modified xsi:type="dcterms:W3CDTF">2025-05-22T03:01:00Z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y fmtid="{D5CDD505-2E9C-101B-9397-08002B2CF9AE}" pid="12" name="ContentTypeId">
    <vt:lpwstr>0x010100246ECA715AC8CA4D9874C0C7D9666FCC</vt:lpwstr>
  </property>
</Properties>
</file>